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1174" w:rsidRPr="00FD5CA0" w:rsidRDefault="00FD5CA0" w:rsidP="00FD5CA0">
      <w:pPr>
        <w:shd w:val="clear" w:color="auto" w:fill="000000" w:themeFill="text1"/>
        <w:rPr>
          <w:rFonts w:ascii="Arial" w:hAnsi="Arial" w:cs="Arial"/>
        </w:rPr>
      </w:pPr>
      <w:r w:rsidRPr="00FD5CA0">
        <w:rPr>
          <w:rFonts w:ascii="Arial" w:hAnsi="Arial" w:cs="Arial"/>
        </w:rPr>
        <w:t xml:space="preserve">Stepping </w:t>
      </w:r>
      <w:r w:rsidR="00B80B10">
        <w:rPr>
          <w:rFonts w:ascii="Arial" w:hAnsi="Arial" w:cs="Arial"/>
        </w:rPr>
        <w:t xml:space="preserve">Stones Taught Units: </w:t>
      </w:r>
      <w:r w:rsidR="00EA6577">
        <w:rPr>
          <w:rFonts w:ascii="Arial" w:hAnsi="Arial" w:cs="Arial"/>
        </w:rPr>
        <w:t xml:space="preserve">Unit Overview </w:t>
      </w:r>
    </w:p>
    <w:p w:rsidR="00FD5CA0" w:rsidRDefault="00FD5CA0">
      <w:pPr>
        <w:rPr>
          <w:rFonts w:ascii="Arial" w:hAnsi="Arial" w:cs="Arial"/>
        </w:rPr>
      </w:pPr>
    </w:p>
    <w:tbl>
      <w:tblPr>
        <w:tblStyle w:val="TableGrid"/>
        <w:tblW w:w="0" w:type="auto"/>
        <w:tblCellMar>
          <w:top w:w="85" w:type="dxa"/>
          <w:bottom w:w="85" w:type="dxa"/>
        </w:tblCellMar>
        <w:tblLook w:val="04A0" w:firstRow="1" w:lastRow="0" w:firstColumn="1" w:lastColumn="0" w:noHBand="0" w:noVBand="1"/>
      </w:tblPr>
      <w:tblGrid>
        <w:gridCol w:w="1951"/>
        <w:gridCol w:w="8222"/>
        <w:gridCol w:w="3118"/>
        <w:gridCol w:w="1721"/>
      </w:tblGrid>
      <w:tr w:rsidR="00E8161D" w:rsidTr="00D539FE">
        <w:tc>
          <w:tcPr>
            <w:tcW w:w="1951" w:type="dxa"/>
          </w:tcPr>
          <w:p w:rsidR="00E8161D" w:rsidRDefault="00E8161D">
            <w:pPr>
              <w:rPr>
                <w:rFonts w:ascii="Arial" w:hAnsi="Arial" w:cs="Arial"/>
              </w:rPr>
            </w:pPr>
            <w:r>
              <w:rPr>
                <w:rFonts w:ascii="Arial" w:hAnsi="Arial" w:cs="Arial"/>
              </w:rPr>
              <w:t>Unit Title</w:t>
            </w:r>
          </w:p>
        </w:tc>
        <w:tc>
          <w:tcPr>
            <w:tcW w:w="8222" w:type="dxa"/>
          </w:tcPr>
          <w:p w:rsidR="00E8161D" w:rsidRDefault="00E8161D">
            <w:pPr>
              <w:rPr>
                <w:rFonts w:ascii="Arial" w:hAnsi="Arial" w:cs="Arial"/>
              </w:rPr>
            </w:pPr>
            <w:r>
              <w:rPr>
                <w:rFonts w:ascii="Arial" w:hAnsi="Arial" w:cs="Arial"/>
              </w:rPr>
              <w:t>Summary of Unit Objectives</w:t>
            </w:r>
          </w:p>
        </w:tc>
        <w:tc>
          <w:tcPr>
            <w:tcW w:w="3118" w:type="dxa"/>
          </w:tcPr>
          <w:p w:rsidR="00E8161D" w:rsidRDefault="00E8161D">
            <w:pPr>
              <w:rPr>
                <w:rFonts w:ascii="Arial" w:hAnsi="Arial" w:cs="Arial"/>
              </w:rPr>
            </w:pPr>
            <w:r>
              <w:rPr>
                <w:rFonts w:ascii="Arial" w:hAnsi="Arial" w:cs="Arial"/>
              </w:rPr>
              <w:t xml:space="preserve">Teaching Methods </w:t>
            </w:r>
          </w:p>
        </w:tc>
        <w:tc>
          <w:tcPr>
            <w:tcW w:w="1721" w:type="dxa"/>
          </w:tcPr>
          <w:p w:rsidR="00E8161D" w:rsidRDefault="00E8161D">
            <w:pPr>
              <w:rPr>
                <w:rFonts w:ascii="Arial" w:hAnsi="Arial" w:cs="Arial"/>
              </w:rPr>
            </w:pPr>
            <w:r>
              <w:rPr>
                <w:rFonts w:ascii="Arial" w:hAnsi="Arial" w:cs="Arial"/>
              </w:rPr>
              <w:t>Length of Unit</w:t>
            </w:r>
          </w:p>
        </w:tc>
      </w:tr>
      <w:tr w:rsidR="00E8161D" w:rsidTr="00D539FE">
        <w:tc>
          <w:tcPr>
            <w:tcW w:w="1951" w:type="dxa"/>
            <w:vAlign w:val="center"/>
          </w:tcPr>
          <w:p w:rsidR="00E8161D" w:rsidRDefault="00E8161D" w:rsidP="00EA6577">
            <w:pPr>
              <w:rPr>
                <w:rFonts w:ascii="Arial" w:hAnsi="Arial" w:cs="Arial"/>
              </w:rPr>
            </w:pPr>
            <w:r>
              <w:rPr>
                <w:rFonts w:ascii="Arial" w:hAnsi="Arial" w:cs="Arial"/>
              </w:rPr>
              <w:t>Transition</w:t>
            </w:r>
          </w:p>
        </w:tc>
        <w:tc>
          <w:tcPr>
            <w:tcW w:w="8222" w:type="dxa"/>
            <w:vAlign w:val="center"/>
          </w:tcPr>
          <w:p w:rsidR="00E8161D" w:rsidRDefault="00E8161D" w:rsidP="00EA6577">
            <w:pPr>
              <w:rPr>
                <w:rFonts w:ascii="Arial" w:hAnsi="Arial" w:cs="Arial"/>
              </w:rPr>
            </w:pPr>
            <w:r>
              <w:rPr>
                <w:rFonts w:ascii="Arial" w:hAnsi="Arial" w:cs="Arial"/>
              </w:rPr>
              <w:t xml:space="preserve">This unit works best at the very start of Year 7.  It provides an opportunity for students to reflect on the differences between primary and secondary school.  It also, very explicitly, analyses expected behaviour in a secondary school focusing on classroom behaviour, behaviour outside the classroom and behaviour outside school.  </w:t>
            </w:r>
          </w:p>
        </w:tc>
        <w:tc>
          <w:tcPr>
            <w:tcW w:w="3118" w:type="dxa"/>
            <w:vAlign w:val="center"/>
          </w:tcPr>
          <w:p w:rsidR="00E8161D" w:rsidRDefault="00E8161D" w:rsidP="00EA6577">
            <w:pPr>
              <w:rPr>
                <w:rFonts w:ascii="Arial" w:hAnsi="Arial" w:cs="Arial"/>
              </w:rPr>
            </w:pPr>
            <w:r>
              <w:rPr>
                <w:rFonts w:ascii="Arial" w:hAnsi="Arial" w:cs="Arial"/>
              </w:rPr>
              <w:t>Individual reflection</w:t>
            </w:r>
          </w:p>
          <w:p w:rsidR="00E8161D" w:rsidRDefault="00EA6577" w:rsidP="00EA6577">
            <w:pPr>
              <w:rPr>
                <w:rFonts w:ascii="Arial" w:hAnsi="Arial" w:cs="Arial"/>
              </w:rPr>
            </w:pPr>
            <w:r>
              <w:rPr>
                <w:rFonts w:ascii="Arial" w:hAnsi="Arial" w:cs="Arial"/>
              </w:rPr>
              <w:t>Discussion</w:t>
            </w:r>
          </w:p>
          <w:p w:rsidR="00E8161D" w:rsidRDefault="00E8161D" w:rsidP="00EA6577">
            <w:pPr>
              <w:rPr>
                <w:rFonts w:ascii="Arial" w:hAnsi="Arial" w:cs="Arial"/>
              </w:rPr>
            </w:pPr>
            <w:r>
              <w:rPr>
                <w:rFonts w:ascii="Arial" w:hAnsi="Arial" w:cs="Arial"/>
              </w:rPr>
              <w:t xml:space="preserve">Roleplay </w:t>
            </w:r>
          </w:p>
          <w:p w:rsidR="00E8161D" w:rsidRDefault="00E8161D" w:rsidP="00EA6577">
            <w:pPr>
              <w:rPr>
                <w:rFonts w:ascii="Arial" w:hAnsi="Arial" w:cs="Arial"/>
              </w:rPr>
            </w:pPr>
            <w:r>
              <w:rPr>
                <w:rFonts w:ascii="Arial" w:hAnsi="Arial" w:cs="Arial"/>
              </w:rPr>
              <w:t xml:space="preserve">Pair work </w:t>
            </w:r>
          </w:p>
        </w:tc>
        <w:tc>
          <w:tcPr>
            <w:tcW w:w="1721" w:type="dxa"/>
            <w:vAlign w:val="center"/>
          </w:tcPr>
          <w:p w:rsidR="00E8161D" w:rsidRDefault="00E8161D" w:rsidP="00EA6577">
            <w:pPr>
              <w:rPr>
                <w:rFonts w:ascii="Arial" w:hAnsi="Arial" w:cs="Arial"/>
              </w:rPr>
            </w:pPr>
            <w:r>
              <w:rPr>
                <w:rFonts w:ascii="Arial" w:hAnsi="Arial" w:cs="Arial"/>
              </w:rPr>
              <w:t>7 Lessons</w:t>
            </w:r>
          </w:p>
        </w:tc>
      </w:tr>
      <w:tr w:rsidR="00E8161D" w:rsidTr="00D539FE">
        <w:tc>
          <w:tcPr>
            <w:tcW w:w="1951" w:type="dxa"/>
            <w:vAlign w:val="center"/>
          </w:tcPr>
          <w:p w:rsidR="00E8161D" w:rsidRDefault="00E8161D" w:rsidP="00EA6577">
            <w:pPr>
              <w:rPr>
                <w:rFonts w:ascii="Arial" w:hAnsi="Arial" w:cs="Arial"/>
              </w:rPr>
            </w:pPr>
            <w:r>
              <w:rPr>
                <w:rFonts w:ascii="Arial" w:hAnsi="Arial" w:cs="Arial"/>
              </w:rPr>
              <w:t>Positive Behaviour Patterns</w:t>
            </w:r>
          </w:p>
        </w:tc>
        <w:tc>
          <w:tcPr>
            <w:tcW w:w="8222" w:type="dxa"/>
            <w:vAlign w:val="center"/>
          </w:tcPr>
          <w:p w:rsidR="00E8161D" w:rsidRDefault="00E8161D" w:rsidP="00321028">
            <w:pPr>
              <w:rPr>
                <w:rFonts w:ascii="Arial" w:hAnsi="Arial" w:cs="Arial"/>
              </w:rPr>
            </w:pPr>
            <w:r>
              <w:rPr>
                <w:rFonts w:ascii="Arial" w:hAnsi="Arial" w:cs="Arial"/>
              </w:rPr>
              <w:t>This unit is</w:t>
            </w:r>
            <w:r w:rsidR="00052B54">
              <w:rPr>
                <w:rFonts w:ascii="Arial" w:hAnsi="Arial" w:cs="Arial"/>
              </w:rPr>
              <w:t xml:space="preserve"> </w:t>
            </w:r>
            <w:bookmarkStart w:id="0" w:name="_GoBack"/>
            <w:bookmarkEnd w:id="0"/>
            <w:r>
              <w:rPr>
                <w:rFonts w:ascii="Arial" w:hAnsi="Arial" w:cs="Arial"/>
              </w:rPr>
              <w:t xml:space="preserve"> targeted behaviour support for students who struggle to manage their feelings and impulses.  Students are taken systematically through the STOP-THINK-DO system of behaviour modification and are encouraged to reflect on their own behaviour (and also to consider the responses of others).  </w:t>
            </w:r>
          </w:p>
        </w:tc>
        <w:tc>
          <w:tcPr>
            <w:tcW w:w="3118" w:type="dxa"/>
            <w:vAlign w:val="center"/>
          </w:tcPr>
          <w:p w:rsidR="00E8161D" w:rsidRDefault="00E8161D" w:rsidP="00EA6577">
            <w:pPr>
              <w:rPr>
                <w:rFonts w:ascii="Arial" w:hAnsi="Arial" w:cs="Arial"/>
              </w:rPr>
            </w:pPr>
            <w:r>
              <w:rPr>
                <w:rFonts w:ascii="Arial" w:hAnsi="Arial" w:cs="Arial"/>
              </w:rPr>
              <w:t>Individual reflection</w:t>
            </w:r>
          </w:p>
          <w:p w:rsidR="00EA6577" w:rsidRDefault="00EA6577" w:rsidP="00EA6577">
            <w:pPr>
              <w:rPr>
                <w:rFonts w:ascii="Arial" w:hAnsi="Arial" w:cs="Arial"/>
              </w:rPr>
            </w:pPr>
            <w:r>
              <w:rPr>
                <w:rFonts w:ascii="Arial" w:hAnsi="Arial" w:cs="Arial"/>
              </w:rPr>
              <w:t>Discussion</w:t>
            </w:r>
          </w:p>
          <w:p w:rsidR="00E8161D" w:rsidRDefault="00E8161D" w:rsidP="00EA6577">
            <w:pPr>
              <w:rPr>
                <w:rFonts w:ascii="Arial" w:hAnsi="Arial" w:cs="Arial"/>
              </w:rPr>
            </w:pPr>
            <w:r>
              <w:rPr>
                <w:rFonts w:ascii="Arial" w:hAnsi="Arial" w:cs="Arial"/>
              </w:rPr>
              <w:t>Roleplay</w:t>
            </w:r>
          </w:p>
          <w:p w:rsidR="00E8161D" w:rsidRDefault="00E8161D" w:rsidP="00EA6577">
            <w:pPr>
              <w:rPr>
                <w:rFonts w:ascii="Arial" w:hAnsi="Arial" w:cs="Arial"/>
              </w:rPr>
            </w:pPr>
            <w:r>
              <w:rPr>
                <w:rFonts w:ascii="Arial" w:hAnsi="Arial" w:cs="Arial"/>
              </w:rPr>
              <w:t xml:space="preserve">Individual and paired tasks </w:t>
            </w:r>
          </w:p>
        </w:tc>
        <w:tc>
          <w:tcPr>
            <w:tcW w:w="1721" w:type="dxa"/>
            <w:vAlign w:val="center"/>
          </w:tcPr>
          <w:p w:rsidR="00E8161D" w:rsidRDefault="00E8161D" w:rsidP="00EA6577">
            <w:pPr>
              <w:rPr>
                <w:rFonts w:ascii="Arial" w:hAnsi="Arial" w:cs="Arial"/>
              </w:rPr>
            </w:pPr>
            <w:r>
              <w:rPr>
                <w:rFonts w:ascii="Arial" w:hAnsi="Arial" w:cs="Arial"/>
              </w:rPr>
              <w:t xml:space="preserve">11 Lessons </w:t>
            </w:r>
          </w:p>
        </w:tc>
      </w:tr>
      <w:tr w:rsidR="00E8161D" w:rsidTr="00D539FE">
        <w:tc>
          <w:tcPr>
            <w:tcW w:w="1951" w:type="dxa"/>
            <w:vAlign w:val="center"/>
          </w:tcPr>
          <w:p w:rsidR="00E8161D" w:rsidRDefault="00E8161D" w:rsidP="00EA6577">
            <w:pPr>
              <w:rPr>
                <w:rFonts w:ascii="Arial" w:hAnsi="Arial" w:cs="Arial"/>
              </w:rPr>
            </w:pPr>
            <w:r>
              <w:rPr>
                <w:rFonts w:ascii="Arial" w:hAnsi="Arial" w:cs="Arial"/>
              </w:rPr>
              <w:t>Developing self-esteem and resilience</w:t>
            </w:r>
          </w:p>
        </w:tc>
        <w:tc>
          <w:tcPr>
            <w:tcW w:w="8222" w:type="dxa"/>
            <w:vAlign w:val="center"/>
          </w:tcPr>
          <w:p w:rsidR="00E8161D" w:rsidRDefault="00E8161D" w:rsidP="00EA6577">
            <w:pPr>
              <w:rPr>
                <w:rFonts w:ascii="Arial" w:hAnsi="Arial" w:cs="Arial"/>
              </w:rPr>
            </w:pPr>
            <w:r>
              <w:rPr>
                <w:rFonts w:ascii="Arial" w:hAnsi="Arial" w:cs="Arial"/>
              </w:rPr>
              <w:t xml:space="preserve">This unit examines what self-esteem and resilience are and also why they are important.  Students are encouraged to try out some different strategies for improving self-esteem and also look at what resilience might mean in practice using case studies.  </w:t>
            </w:r>
            <w:r w:rsidR="00EA6577">
              <w:rPr>
                <w:rFonts w:ascii="Arial" w:hAnsi="Arial" w:cs="Arial"/>
              </w:rPr>
              <w:t xml:space="preserve">Students look explicitly at how to give and receive feedback.  </w:t>
            </w:r>
          </w:p>
        </w:tc>
        <w:tc>
          <w:tcPr>
            <w:tcW w:w="3118" w:type="dxa"/>
            <w:vAlign w:val="center"/>
          </w:tcPr>
          <w:p w:rsidR="00E8161D" w:rsidRDefault="00EA6577" w:rsidP="00EA6577">
            <w:pPr>
              <w:rPr>
                <w:rFonts w:ascii="Arial" w:hAnsi="Arial" w:cs="Arial"/>
              </w:rPr>
            </w:pPr>
            <w:r>
              <w:rPr>
                <w:rFonts w:ascii="Arial" w:hAnsi="Arial" w:cs="Arial"/>
              </w:rPr>
              <w:t>Individual reflection</w:t>
            </w:r>
          </w:p>
          <w:p w:rsidR="00EA6577" w:rsidRDefault="00EA6577" w:rsidP="00EA6577">
            <w:pPr>
              <w:rPr>
                <w:rFonts w:ascii="Arial" w:hAnsi="Arial" w:cs="Arial"/>
              </w:rPr>
            </w:pPr>
            <w:r>
              <w:rPr>
                <w:rFonts w:ascii="Arial" w:hAnsi="Arial" w:cs="Arial"/>
              </w:rPr>
              <w:t>Group, paired and class discussion</w:t>
            </w:r>
          </w:p>
          <w:p w:rsidR="00EA6577" w:rsidRDefault="00EA6577" w:rsidP="00EA6577">
            <w:pPr>
              <w:rPr>
                <w:rFonts w:ascii="Arial" w:hAnsi="Arial" w:cs="Arial"/>
              </w:rPr>
            </w:pPr>
            <w:r>
              <w:rPr>
                <w:rFonts w:ascii="Arial" w:hAnsi="Arial" w:cs="Arial"/>
              </w:rPr>
              <w:t>Group presentations</w:t>
            </w:r>
          </w:p>
        </w:tc>
        <w:tc>
          <w:tcPr>
            <w:tcW w:w="1721" w:type="dxa"/>
            <w:vAlign w:val="center"/>
          </w:tcPr>
          <w:p w:rsidR="00E8161D" w:rsidRDefault="00EA6577" w:rsidP="00EA6577">
            <w:pPr>
              <w:rPr>
                <w:rFonts w:ascii="Arial" w:hAnsi="Arial" w:cs="Arial"/>
              </w:rPr>
            </w:pPr>
            <w:r>
              <w:rPr>
                <w:rFonts w:ascii="Arial" w:hAnsi="Arial" w:cs="Arial"/>
              </w:rPr>
              <w:t>7 Lessons</w:t>
            </w:r>
          </w:p>
        </w:tc>
      </w:tr>
      <w:tr w:rsidR="00E8161D" w:rsidTr="00D539FE">
        <w:tc>
          <w:tcPr>
            <w:tcW w:w="1951" w:type="dxa"/>
            <w:vAlign w:val="center"/>
          </w:tcPr>
          <w:p w:rsidR="00E8161D" w:rsidRDefault="00EA6577" w:rsidP="00EA6577">
            <w:pPr>
              <w:rPr>
                <w:rFonts w:ascii="Arial" w:hAnsi="Arial" w:cs="Arial"/>
              </w:rPr>
            </w:pPr>
            <w:r>
              <w:rPr>
                <w:rFonts w:ascii="Arial" w:hAnsi="Arial" w:cs="Arial"/>
              </w:rPr>
              <w:t xml:space="preserve">What is success? </w:t>
            </w:r>
          </w:p>
        </w:tc>
        <w:tc>
          <w:tcPr>
            <w:tcW w:w="8222" w:type="dxa"/>
            <w:vAlign w:val="center"/>
          </w:tcPr>
          <w:p w:rsidR="00E8161D" w:rsidRDefault="00EA6577" w:rsidP="00EA6577">
            <w:pPr>
              <w:rPr>
                <w:rFonts w:ascii="Arial" w:hAnsi="Arial" w:cs="Arial"/>
              </w:rPr>
            </w:pPr>
            <w:r>
              <w:rPr>
                <w:rFonts w:ascii="Arial" w:hAnsi="Arial" w:cs="Arial"/>
              </w:rPr>
              <w:t xml:space="preserve">This unit encourages students to think about their future and to focus on what success might mean for them.  It encourages students to broaden their definition of success explicitly considering education and money.  They also learn about the skills which are considered important by employers and reflect on how school helps them to develop these skills.  </w:t>
            </w:r>
          </w:p>
        </w:tc>
        <w:tc>
          <w:tcPr>
            <w:tcW w:w="3118" w:type="dxa"/>
            <w:vAlign w:val="center"/>
          </w:tcPr>
          <w:p w:rsidR="00EA6577" w:rsidRDefault="00EA6577" w:rsidP="00EA6577">
            <w:pPr>
              <w:rPr>
                <w:rFonts w:ascii="Arial" w:hAnsi="Arial" w:cs="Arial"/>
              </w:rPr>
            </w:pPr>
            <w:r>
              <w:rPr>
                <w:rFonts w:ascii="Arial" w:hAnsi="Arial" w:cs="Arial"/>
              </w:rPr>
              <w:t>Individual reflection</w:t>
            </w:r>
          </w:p>
          <w:p w:rsidR="00EA6577" w:rsidRDefault="00EA6577" w:rsidP="00EA6577">
            <w:pPr>
              <w:rPr>
                <w:rFonts w:ascii="Arial" w:hAnsi="Arial" w:cs="Arial"/>
              </w:rPr>
            </w:pPr>
            <w:r>
              <w:rPr>
                <w:rFonts w:ascii="Arial" w:hAnsi="Arial" w:cs="Arial"/>
              </w:rPr>
              <w:t>Group, paired and class discussion</w:t>
            </w:r>
          </w:p>
          <w:p w:rsidR="00E8161D" w:rsidRDefault="00EA6577" w:rsidP="00EA6577">
            <w:pPr>
              <w:rPr>
                <w:rFonts w:ascii="Arial" w:hAnsi="Arial" w:cs="Arial"/>
              </w:rPr>
            </w:pPr>
            <w:r>
              <w:rPr>
                <w:rFonts w:ascii="Arial" w:hAnsi="Arial" w:cs="Arial"/>
              </w:rPr>
              <w:t>Group presentations</w:t>
            </w:r>
          </w:p>
        </w:tc>
        <w:tc>
          <w:tcPr>
            <w:tcW w:w="1721" w:type="dxa"/>
            <w:vAlign w:val="center"/>
          </w:tcPr>
          <w:p w:rsidR="00E8161D" w:rsidRDefault="00EA6577" w:rsidP="00EA6577">
            <w:pPr>
              <w:rPr>
                <w:rFonts w:ascii="Arial" w:hAnsi="Arial" w:cs="Arial"/>
              </w:rPr>
            </w:pPr>
            <w:r>
              <w:rPr>
                <w:rFonts w:ascii="Arial" w:hAnsi="Arial" w:cs="Arial"/>
              </w:rPr>
              <w:t>7 Lessons</w:t>
            </w:r>
          </w:p>
        </w:tc>
      </w:tr>
      <w:tr w:rsidR="00E8161D" w:rsidTr="00D539FE">
        <w:tc>
          <w:tcPr>
            <w:tcW w:w="1951" w:type="dxa"/>
            <w:vAlign w:val="center"/>
          </w:tcPr>
          <w:p w:rsidR="00E8161D" w:rsidRDefault="00EA6577" w:rsidP="00EA6577">
            <w:pPr>
              <w:rPr>
                <w:rFonts w:ascii="Arial" w:hAnsi="Arial" w:cs="Arial"/>
              </w:rPr>
            </w:pPr>
            <w:r>
              <w:rPr>
                <w:rFonts w:ascii="Arial" w:hAnsi="Arial" w:cs="Arial"/>
              </w:rPr>
              <w:t>Working as a team</w:t>
            </w:r>
          </w:p>
        </w:tc>
        <w:tc>
          <w:tcPr>
            <w:tcW w:w="8222" w:type="dxa"/>
            <w:vAlign w:val="center"/>
          </w:tcPr>
          <w:p w:rsidR="00E8161D" w:rsidRDefault="00EA6577" w:rsidP="00EA6577">
            <w:pPr>
              <w:rPr>
                <w:rFonts w:ascii="Arial" w:hAnsi="Arial" w:cs="Arial"/>
              </w:rPr>
            </w:pPr>
            <w:r>
              <w:rPr>
                <w:rFonts w:ascii="Arial" w:hAnsi="Arial" w:cs="Arial"/>
              </w:rPr>
              <w:t xml:space="preserve">This unit looks very explicitly at the importance of teamwork and the skills required to be an effective member of a team.  Students are given a wide variety of teamworking experiences and are encouraged to reflect on their own performance in the team. </w:t>
            </w:r>
          </w:p>
        </w:tc>
        <w:tc>
          <w:tcPr>
            <w:tcW w:w="3118" w:type="dxa"/>
            <w:vAlign w:val="center"/>
          </w:tcPr>
          <w:p w:rsidR="00EA6577" w:rsidRDefault="00EA6577" w:rsidP="00EA6577">
            <w:pPr>
              <w:rPr>
                <w:rFonts w:ascii="Arial" w:hAnsi="Arial" w:cs="Arial"/>
              </w:rPr>
            </w:pPr>
            <w:r>
              <w:rPr>
                <w:rFonts w:ascii="Arial" w:hAnsi="Arial" w:cs="Arial"/>
              </w:rPr>
              <w:t>Group Tasks</w:t>
            </w:r>
          </w:p>
          <w:p w:rsidR="00EA6577" w:rsidRDefault="00EA6577" w:rsidP="00EA6577">
            <w:pPr>
              <w:rPr>
                <w:rFonts w:ascii="Arial" w:hAnsi="Arial" w:cs="Arial"/>
              </w:rPr>
            </w:pPr>
            <w:r>
              <w:rPr>
                <w:rFonts w:ascii="Arial" w:hAnsi="Arial" w:cs="Arial"/>
              </w:rPr>
              <w:t>Discussion</w:t>
            </w:r>
          </w:p>
          <w:p w:rsidR="00EA6577" w:rsidRDefault="00EA6577" w:rsidP="00EA6577">
            <w:pPr>
              <w:rPr>
                <w:rFonts w:ascii="Arial" w:hAnsi="Arial" w:cs="Arial"/>
              </w:rPr>
            </w:pPr>
            <w:r>
              <w:rPr>
                <w:rFonts w:ascii="Arial" w:hAnsi="Arial" w:cs="Arial"/>
              </w:rPr>
              <w:t>Individual Reflection</w:t>
            </w:r>
          </w:p>
        </w:tc>
        <w:tc>
          <w:tcPr>
            <w:tcW w:w="1721" w:type="dxa"/>
            <w:vAlign w:val="center"/>
          </w:tcPr>
          <w:p w:rsidR="00E8161D" w:rsidRDefault="00EA6577" w:rsidP="00EA6577">
            <w:pPr>
              <w:rPr>
                <w:rFonts w:ascii="Arial" w:hAnsi="Arial" w:cs="Arial"/>
              </w:rPr>
            </w:pPr>
            <w:r>
              <w:rPr>
                <w:rFonts w:ascii="Arial" w:hAnsi="Arial" w:cs="Arial"/>
              </w:rPr>
              <w:t xml:space="preserve">At least 7 Lessons </w:t>
            </w:r>
          </w:p>
        </w:tc>
      </w:tr>
    </w:tbl>
    <w:p w:rsidR="00BF0F7E" w:rsidRPr="00FD5CA0" w:rsidRDefault="00BF0F7E" w:rsidP="00BF0F7E">
      <w:pPr>
        <w:rPr>
          <w:rFonts w:ascii="Arial" w:hAnsi="Arial" w:cs="Arial"/>
        </w:rPr>
      </w:pPr>
    </w:p>
    <w:sectPr w:rsidR="00BF0F7E" w:rsidRPr="00FD5CA0" w:rsidSect="00FD5CA0">
      <w:footerReference w:type="default" r:id="rId9"/>
      <w:pgSz w:w="16838" w:h="11906" w:orient="landscape"/>
      <w:pgMar w:top="1021" w:right="1021" w:bottom="1021" w:left="102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48FC" w:rsidRDefault="006548FC" w:rsidP="006548FC">
      <w:pPr>
        <w:spacing w:after="0" w:line="240" w:lineRule="auto"/>
      </w:pPr>
      <w:r>
        <w:separator/>
      </w:r>
    </w:p>
  </w:endnote>
  <w:endnote w:type="continuationSeparator" w:id="0">
    <w:p w:rsidR="006548FC" w:rsidRDefault="006548FC" w:rsidP="00654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48FC" w:rsidRDefault="006548FC" w:rsidP="006548FC">
    <w:pPr>
      <w:pStyle w:val="Footer"/>
      <w:rPr>
        <w:sz w:val="28"/>
      </w:rPr>
    </w:pPr>
    <w:r>
      <w:rPr>
        <w:sz w:val="28"/>
      </w:rPr>
      <w:br/>
    </w:r>
    <w:r>
      <w:rPr>
        <w:rFonts w:ascii="Arial" w:hAnsi="Arial" w:cs="Arial"/>
        <w:color w:val="222222"/>
        <w:sz w:val="20"/>
        <w:szCs w:val="19"/>
        <w:shd w:val="clear" w:color="auto" w:fill="FFFFFF"/>
      </w:rPr>
      <w:t>Resources produced by Gladesmore Community School as part of the Stepping Stones programme, </w:t>
    </w:r>
    <w:r>
      <w:rPr>
        <w:rFonts w:ascii="Arial" w:hAnsi="Arial" w:cs="Arial"/>
        <w:b/>
        <w:bCs/>
        <w:color w:val="222222"/>
        <w:sz w:val="20"/>
        <w:szCs w:val="19"/>
        <w:shd w:val="clear" w:color="auto" w:fill="FFFFFF"/>
      </w:rPr>
      <w:t>supported by the Mayor of London</w:t>
    </w:r>
    <w:r>
      <w:rPr>
        <w:rFonts w:ascii="Arial" w:hAnsi="Arial" w:cs="Arial"/>
        <w:color w:val="222222"/>
        <w:sz w:val="20"/>
        <w:szCs w:val="19"/>
        <w:shd w:val="clear" w:color="auto" w:fill="FFFFFF"/>
      </w:rPr>
      <w:t>.  All resources are fully editable.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48FC" w:rsidRDefault="006548FC" w:rsidP="006548FC">
      <w:pPr>
        <w:spacing w:after="0" w:line="240" w:lineRule="auto"/>
      </w:pPr>
      <w:r>
        <w:separator/>
      </w:r>
    </w:p>
  </w:footnote>
  <w:footnote w:type="continuationSeparator" w:id="0">
    <w:p w:rsidR="006548FC" w:rsidRDefault="006548FC" w:rsidP="006548F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A07919"/>
    <w:multiLevelType w:val="hybridMultilevel"/>
    <w:tmpl w:val="6BB0C1DA"/>
    <w:lvl w:ilvl="0" w:tplc="0770B2D0">
      <w:numFmt w:val="bullet"/>
      <w:lvlText w:val="-"/>
      <w:lvlJc w:val="left"/>
      <w:pPr>
        <w:ind w:left="420" w:hanging="360"/>
      </w:pPr>
      <w:rPr>
        <w:rFonts w:ascii="Arial" w:eastAsiaTheme="minorHAnsi" w:hAnsi="Arial" w:cs="Arial" w:hint="default"/>
      </w:rPr>
    </w:lvl>
    <w:lvl w:ilvl="1" w:tplc="08090003" w:tentative="1">
      <w:start w:val="1"/>
      <w:numFmt w:val="bullet"/>
      <w:lvlText w:val="o"/>
      <w:lvlJc w:val="left"/>
      <w:pPr>
        <w:ind w:left="1140" w:hanging="360"/>
      </w:pPr>
      <w:rPr>
        <w:rFonts w:ascii="Courier New" w:hAnsi="Courier New" w:cs="Courier New" w:hint="default"/>
      </w:rPr>
    </w:lvl>
    <w:lvl w:ilvl="2" w:tplc="08090005" w:tentative="1">
      <w:start w:val="1"/>
      <w:numFmt w:val="bullet"/>
      <w:lvlText w:val=""/>
      <w:lvlJc w:val="left"/>
      <w:pPr>
        <w:ind w:left="1860" w:hanging="360"/>
      </w:pPr>
      <w:rPr>
        <w:rFonts w:ascii="Wingdings" w:hAnsi="Wingdings" w:hint="default"/>
      </w:rPr>
    </w:lvl>
    <w:lvl w:ilvl="3" w:tplc="08090001" w:tentative="1">
      <w:start w:val="1"/>
      <w:numFmt w:val="bullet"/>
      <w:lvlText w:val=""/>
      <w:lvlJc w:val="left"/>
      <w:pPr>
        <w:ind w:left="2580" w:hanging="360"/>
      </w:pPr>
      <w:rPr>
        <w:rFonts w:ascii="Symbol" w:hAnsi="Symbol" w:hint="default"/>
      </w:rPr>
    </w:lvl>
    <w:lvl w:ilvl="4" w:tplc="08090003" w:tentative="1">
      <w:start w:val="1"/>
      <w:numFmt w:val="bullet"/>
      <w:lvlText w:val="o"/>
      <w:lvlJc w:val="left"/>
      <w:pPr>
        <w:ind w:left="3300" w:hanging="360"/>
      </w:pPr>
      <w:rPr>
        <w:rFonts w:ascii="Courier New" w:hAnsi="Courier New" w:cs="Courier New" w:hint="default"/>
      </w:rPr>
    </w:lvl>
    <w:lvl w:ilvl="5" w:tplc="08090005" w:tentative="1">
      <w:start w:val="1"/>
      <w:numFmt w:val="bullet"/>
      <w:lvlText w:val=""/>
      <w:lvlJc w:val="left"/>
      <w:pPr>
        <w:ind w:left="4020" w:hanging="360"/>
      </w:pPr>
      <w:rPr>
        <w:rFonts w:ascii="Wingdings" w:hAnsi="Wingdings" w:hint="default"/>
      </w:rPr>
    </w:lvl>
    <w:lvl w:ilvl="6" w:tplc="08090001" w:tentative="1">
      <w:start w:val="1"/>
      <w:numFmt w:val="bullet"/>
      <w:lvlText w:val=""/>
      <w:lvlJc w:val="left"/>
      <w:pPr>
        <w:ind w:left="4740" w:hanging="360"/>
      </w:pPr>
      <w:rPr>
        <w:rFonts w:ascii="Symbol" w:hAnsi="Symbol" w:hint="default"/>
      </w:rPr>
    </w:lvl>
    <w:lvl w:ilvl="7" w:tplc="08090003" w:tentative="1">
      <w:start w:val="1"/>
      <w:numFmt w:val="bullet"/>
      <w:lvlText w:val="o"/>
      <w:lvlJc w:val="left"/>
      <w:pPr>
        <w:ind w:left="5460" w:hanging="360"/>
      </w:pPr>
      <w:rPr>
        <w:rFonts w:ascii="Courier New" w:hAnsi="Courier New" w:cs="Courier New" w:hint="default"/>
      </w:rPr>
    </w:lvl>
    <w:lvl w:ilvl="8" w:tplc="08090005" w:tentative="1">
      <w:start w:val="1"/>
      <w:numFmt w:val="bullet"/>
      <w:lvlText w:val=""/>
      <w:lvlJc w:val="left"/>
      <w:pPr>
        <w:ind w:left="61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1"/>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5CA0"/>
    <w:rsid w:val="00052B54"/>
    <w:rsid w:val="00183246"/>
    <w:rsid w:val="00321028"/>
    <w:rsid w:val="00370853"/>
    <w:rsid w:val="004A42F1"/>
    <w:rsid w:val="006548FC"/>
    <w:rsid w:val="00657DB7"/>
    <w:rsid w:val="007061E6"/>
    <w:rsid w:val="00782A45"/>
    <w:rsid w:val="007E4C87"/>
    <w:rsid w:val="009C1174"/>
    <w:rsid w:val="00B80B10"/>
    <w:rsid w:val="00BF0F7E"/>
    <w:rsid w:val="00D539FE"/>
    <w:rsid w:val="00E8161D"/>
    <w:rsid w:val="00EA3162"/>
    <w:rsid w:val="00EA6577"/>
    <w:rsid w:val="00F62F12"/>
    <w:rsid w:val="00FD5CA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mic Sans MS" w:eastAsiaTheme="minorHAnsi" w:hAnsi="Comic Sans MS" w:cstheme="minorBidi"/>
        <w:sz w:val="24"/>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D5CA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80B10"/>
    <w:pPr>
      <w:ind w:left="720"/>
      <w:contextualSpacing/>
    </w:pPr>
  </w:style>
  <w:style w:type="paragraph" w:styleId="BalloonText">
    <w:name w:val="Balloon Text"/>
    <w:basedOn w:val="Normal"/>
    <w:link w:val="BalloonTextChar"/>
    <w:uiPriority w:val="99"/>
    <w:semiHidden/>
    <w:unhideWhenUsed/>
    <w:rsid w:val="00657DB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57DB7"/>
    <w:rPr>
      <w:rFonts w:ascii="Tahoma" w:hAnsi="Tahoma" w:cs="Tahoma"/>
      <w:sz w:val="16"/>
      <w:szCs w:val="16"/>
    </w:rPr>
  </w:style>
  <w:style w:type="paragraph" w:styleId="Footer">
    <w:name w:val="footer"/>
    <w:basedOn w:val="Normal"/>
    <w:link w:val="FooterChar"/>
    <w:uiPriority w:val="99"/>
    <w:unhideWhenUsed/>
    <w:rsid w:val="00BF0F7E"/>
    <w:pPr>
      <w:tabs>
        <w:tab w:val="center" w:pos="4513"/>
        <w:tab w:val="right" w:pos="9026"/>
      </w:tabs>
      <w:spacing w:after="0" w:line="240" w:lineRule="auto"/>
    </w:pPr>
  </w:style>
  <w:style w:type="character" w:customStyle="1" w:styleId="FooterChar">
    <w:name w:val="Footer Char"/>
    <w:basedOn w:val="DefaultParagraphFont"/>
    <w:link w:val="Footer"/>
    <w:uiPriority w:val="99"/>
    <w:rsid w:val="00BF0F7E"/>
  </w:style>
  <w:style w:type="paragraph" w:styleId="Header">
    <w:name w:val="header"/>
    <w:basedOn w:val="Normal"/>
    <w:link w:val="HeaderChar"/>
    <w:uiPriority w:val="99"/>
    <w:unhideWhenUsed/>
    <w:rsid w:val="006548FC"/>
    <w:pPr>
      <w:tabs>
        <w:tab w:val="center" w:pos="4513"/>
        <w:tab w:val="right" w:pos="9026"/>
      </w:tabs>
      <w:spacing w:after="0" w:line="240" w:lineRule="auto"/>
    </w:pPr>
  </w:style>
  <w:style w:type="character" w:customStyle="1" w:styleId="HeaderChar">
    <w:name w:val="Header Char"/>
    <w:basedOn w:val="DefaultParagraphFont"/>
    <w:link w:val="Header"/>
    <w:uiPriority w:val="99"/>
    <w:rsid w:val="006548F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mic Sans MS" w:eastAsiaTheme="minorHAnsi" w:hAnsi="Comic Sans MS" w:cstheme="minorBidi"/>
        <w:sz w:val="24"/>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D5CA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80B10"/>
    <w:pPr>
      <w:ind w:left="720"/>
      <w:contextualSpacing/>
    </w:pPr>
  </w:style>
  <w:style w:type="paragraph" w:styleId="BalloonText">
    <w:name w:val="Balloon Text"/>
    <w:basedOn w:val="Normal"/>
    <w:link w:val="BalloonTextChar"/>
    <w:uiPriority w:val="99"/>
    <w:semiHidden/>
    <w:unhideWhenUsed/>
    <w:rsid w:val="00657DB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57DB7"/>
    <w:rPr>
      <w:rFonts w:ascii="Tahoma" w:hAnsi="Tahoma" w:cs="Tahoma"/>
      <w:sz w:val="16"/>
      <w:szCs w:val="16"/>
    </w:rPr>
  </w:style>
  <w:style w:type="paragraph" w:styleId="Footer">
    <w:name w:val="footer"/>
    <w:basedOn w:val="Normal"/>
    <w:link w:val="FooterChar"/>
    <w:uiPriority w:val="99"/>
    <w:unhideWhenUsed/>
    <w:rsid w:val="00BF0F7E"/>
    <w:pPr>
      <w:tabs>
        <w:tab w:val="center" w:pos="4513"/>
        <w:tab w:val="right" w:pos="9026"/>
      </w:tabs>
      <w:spacing w:after="0" w:line="240" w:lineRule="auto"/>
    </w:pPr>
  </w:style>
  <w:style w:type="character" w:customStyle="1" w:styleId="FooterChar">
    <w:name w:val="Footer Char"/>
    <w:basedOn w:val="DefaultParagraphFont"/>
    <w:link w:val="Footer"/>
    <w:uiPriority w:val="99"/>
    <w:rsid w:val="00BF0F7E"/>
  </w:style>
  <w:style w:type="paragraph" w:styleId="Header">
    <w:name w:val="header"/>
    <w:basedOn w:val="Normal"/>
    <w:link w:val="HeaderChar"/>
    <w:uiPriority w:val="99"/>
    <w:unhideWhenUsed/>
    <w:rsid w:val="006548FC"/>
    <w:pPr>
      <w:tabs>
        <w:tab w:val="center" w:pos="4513"/>
        <w:tab w:val="right" w:pos="9026"/>
      </w:tabs>
      <w:spacing w:after="0" w:line="240" w:lineRule="auto"/>
    </w:pPr>
  </w:style>
  <w:style w:type="character" w:customStyle="1" w:styleId="HeaderChar">
    <w:name w:val="Header Char"/>
    <w:basedOn w:val="DefaultParagraphFont"/>
    <w:link w:val="Header"/>
    <w:uiPriority w:val="99"/>
    <w:rsid w:val="006548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5156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A41BBC-EBE7-4543-BD98-0CDFF98CF2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68380A16</Template>
  <TotalTime>24</TotalTime>
  <Pages>1</Pages>
  <Words>326</Words>
  <Characters>1861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RM plc</Company>
  <LinksUpToDate>false</LinksUpToDate>
  <CharactersWithSpaces>2183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 K. Mitchell</dc:creator>
  <cp:lastModifiedBy>Ms K. Mitchell</cp:lastModifiedBy>
  <cp:revision>7</cp:revision>
  <cp:lastPrinted>2018-01-15T09:21:00Z</cp:lastPrinted>
  <dcterms:created xsi:type="dcterms:W3CDTF">2018-01-15T09:00:00Z</dcterms:created>
  <dcterms:modified xsi:type="dcterms:W3CDTF">2018-01-25T11:43:00Z</dcterms:modified>
</cp:coreProperties>
</file>